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4" w:rsidRPr="002F63E4" w:rsidRDefault="002F63E4">
      <w:pPr>
        <w:rPr>
          <w:rFonts w:ascii="Times New Roman" w:hAnsi="Times New Roman" w:cs="Times New Roman"/>
          <w:sz w:val="24"/>
          <w:szCs w:val="24"/>
        </w:rPr>
      </w:pPr>
    </w:p>
    <w:p w:rsidR="002F63E4" w:rsidRPr="002F63E4" w:rsidRDefault="002F63E4" w:rsidP="002F63E4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3E4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 w:rsidRPr="002F63E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61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63E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F63E4">
        <w:rPr>
          <w:rFonts w:ascii="Times New Roman" w:hAnsi="Times New Roman" w:cs="Times New Roman"/>
          <w:sz w:val="24"/>
          <w:szCs w:val="24"/>
        </w:rPr>
        <w:t>тверждаю</w:t>
      </w:r>
    </w:p>
    <w:p w:rsidR="002F63E4" w:rsidRPr="002F63E4" w:rsidRDefault="002F63E4" w:rsidP="002F63E4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3E4">
        <w:rPr>
          <w:rFonts w:ascii="Times New Roman" w:hAnsi="Times New Roman" w:cs="Times New Roman"/>
          <w:sz w:val="24"/>
          <w:szCs w:val="24"/>
        </w:rPr>
        <w:t>Протокол № 1 от 26.08.2015 года</w:t>
      </w:r>
      <w:r w:rsidRPr="002F63E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63E4">
        <w:rPr>
          <w:rFonts w:ascii="Times New Roman" w:hAnsi="Times New Roman" w:cs="Times New Roman"/>
          <w:sz w:val="24"/>
          <w:szCs w:val="24"/>
        </w:rPr>
        <w:t xml:space="preserve">    Директор МБОУ ДО ДЮСШ</w:t>
      </w:r>
    </w:p>
    <w:p w:rsidR="002F63E4" w:rsidRPr="002F63E4" w:rsidRDefault="002F63E4" w:rsidP="002F63E4">
      <w:pPr>
        <w:tabs>
          <w:tab w:val="left" w:pos="60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F63E4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2F63E4">
        <w:rPr>
          <w:rFonts w:ascii="Times New Roman" w:hAnsi="Times New Roman" w:cs="Times New Roman"/>
          <w:sz w:val="24"/>
          <w:szCs w:val="24"/>
        </w:rPr>
        <w:t>О.В.Ковалёв</w:t>
      </w:r>
      <w:proofErr w:type="spellEnd"/>
    </w:p>
    <w:p w:rsidR="002F63E4" w:rsidRPr="002F63E4" w:rsidRDefault="002F63E4" w:rsidP="002F63E4">
      <w:pPr>
        <w:tabs>
          <w:tab w:val="left" w:pos="60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72AF">
        <w:rPr>
          <w:rFonts w:ascii="Times New Roman" w:hAnsi="Times New Roman" w:cs="Times New Roman"/>
          <w:sz w:val="24"/>
          <w:szCs w:val="24"/>
        </w:rPr>
        <w:t xml:space="preserve">    26</w:t>
      </w:r>
      <w:r w:rsidRPr="002F63E4">
        <w:rPr>
          <w:rFonts w:ascii="Times New Roman" w:hAnsi="Times New Roman" w:cs="Times New Roman"/>
          <w:sz w:val="24"/>
          <w:szCs w:val="24"/>
        </w:rPr>
        <w:t>.08.2015г.</w:t>
      </w:r>
    </w:p>
    <w:p w:rsidR="002F63E4" w:rsidRPr="002F63E4" w:rsidRDefault="002F63E4" w:rsidP="002F63E4">
      <w:pPr>
        <w:tabs>
          <w:tab w:val="left" w:pos="60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F63E4" w:rsidRPr="002F63E4" w:rsidRDefault="002F63E4" w:rsidP="002F63E4">
      <w:pPr>
        <w:tabs>
          <w:tab w:val="left" w:pos="6098"/>
        </w:tabs>
        <w:rPr>
          <w:rFonts w:ascii="Times New Roman" w:hAnsi="Times New Roman" w:cs="Times New Roman"/>
          <w:sz w:val="24"/>
          <w:szCs w:val="24"/>
        </w:rPr>
      </w:pPr>
      <w:r w:rsidRPr="002F6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57"/>
      </w:tblGrid>
      <w:tr w:rsidR="0057622F" w:rsidRPr="001C1A40">
        <w:trPr>
          <w:tblCellSpacing w:w="15" w:type="dxa"/>
        </w:trPr>
        <w:tc>
          <w:tcPr>
            <w:tcW w:w="0" w:type="auto"/>
          </w:tcPr>
          <w:p w:rsidR="0057622F" w:rsidRPr="00886D7D" w:rsidRDefault="0057622F" w:rsidP="00465A6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Положение</w:t>
            </w:r>
          </w:p>
          <w:p w:rsidR="0057622F" w:rsidRPr="00CB4FE7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  приеме, переводе и отчислении  </w:t>
            </w:r>
            <w:proofErr w:type="gramStart"/>
            <w:r w:rsidRPr="00886D7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обучающихся</w:t>
            </w:r>
            <w:proofErr w:type="gramEnd"/>
          </w:p>
          <w:p w:rsidR="0057622F" w:rsidRPr="00886D7D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CB4FE7" w:rsidRDefault="0057622F" w:rsidP="00CB4F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положения.</w:t>
            </w:r>
          </w:p>
          <w:p w:rsidR="0057622F" w:rsidRPr="00CB4FE7" w:rsidRDefault="0057622F" w:rsidP="00CB4FE7">
            <w:pPr>
              <w:pStyle w:val="a4"/>
              <w:spacing w:after="0" w:line="240" w:lineRule="auto"/>
              <w:ind w:left="750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1.1.Положение о порядке зачисления в спортивную школу принято в соответствии с Федеральным законом от 29.12.2012 № 273-ФЗ «Об образовании в Российской Федерации», Конвенцией о правах ребенка, Законом РФ «Об основных гарантиях прав ребенка в РФ», приказом Министерства образования и науки Российской Федерации от 29.08.2013 № 1008 «Порядок организации и осуществления образовательной деятельности по дополнительным общеобразовательным программам», санитарно-эпидемиологическими требованиями к учреждениям дополнительного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 детей (СанПиН 2.4.4. 1251-03). 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1.2.Занятия в спортивной школе проводятся по </w:t>
            </w:r>
            <w:r w:rsidR="0070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дополнительным предпрофессиональным программам в области физической культуры и спорта и дополнительным общеразвивающим программам, разработанных и утвержденных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учреждением на основе примерных программ по видам спорта, допущенных Федеральным органом управления в сфере физической культуры и спорта, или образовательных программ, рекомендованных Федеральным органом управления в сфере образования. </w:t>
            </w:r>
            <w:proofErr w:type="gramEnd"/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1.3.Рекомендуемый минимальный возраст зачисления детей в спортивную школу по видам спорта определяется в соответствии с требованиями СанПиН к учреждениям дополнительного образования детей (СанПиН 2.4.4. 1251-03 (приложение 2), утвержденными Постановлением Главного государственного санитарного врача РФ от 3 апреля 2003 № 27.</w:t>
            </w:r>
            <w:proofErr w:type="gramEnd"/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7622F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Условия приема. </w:t>
            </w:r>
          </w:p>
          <w:p w:rsidR="0057622F" w:rsidRPr="00886D7D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2.1.Условиями  приема  являются: </w:t>
            </w:r>
          </w:p>
          <w:p w:rsidR="0057622F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письменное заявление одного из родителей (законного представителя) ребенка; </w:t>
            </w:r>
          </w:p>
          <w:p w:rsidR="0057622F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медицинское заключение; </w:t>
            </w:r>
          </w:p>
          <w:p w:rsidR="0057622F" w:rsidRDefault="00704ECC" w:rsidP="00704EC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согласие на обработку персональных данных.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2.2.При приеме обучающихся  в спортивную школу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администрация обязана ознакомить родителей (законных представителей) со следующими документами: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Уставом; 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лицензией на право осуществления образовательной деятельности; 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образовательными программами по видам спорта; 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иными локальными актами, регулирующими деятельность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спортивной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 и затрагивающие права, и законные интересы детей и родителей (законных представителей). 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2.3.При приёме детей 4-6 лет для обучения п</w:t>
            </w:r>
            <w:r w:rsidR="0070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дополнительным общеразвивающим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 должны быть соблюдены следующие условия: </w:t>
            </w:r>
          </w:p>
          <w:p w:rsidR="0057622F" w:rsidRPr="00886D7D" w:rsidRDefault="0057622F" w:rsidP="00465A6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наличие в учреждении дополнительной образовательной программы, в которой изложена методика обучения и воспитания детей раннего возраста;</w:t>
            </w: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создание условий для занятий с детьми раннего возраста.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2.4.Родителям (законным представителям) может быть отказано в приеме ребенка по медицинским показаниям.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bookmarkStart w:id="0" w:name="_GoBack"/>
            <w:bookmarkEnd w:id="0"/>
          </w:p>
          <w:p w:rsidR="0057622F" w:rsidRDefault="0057622F" w:rsidP="00465A6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3.Порядок приема 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57622F" w:rsidRPr="00886D7D" w:rsidRDefault="0057622F" w:rsidP="00465A6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3.1.Порядок приема 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662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ДЮСШ, определяется непосредственно учреждением и оформляется приказом директора </w:t>
            </w:r>
            <w:r w:rsidR="00662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школы.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3.2.Спортивно-оздоровительные группы формируются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 </w:t>
            </w:r>
            <w:proofErr w:type="gramEnd"/>
          </w:p>
          <w:p w:rsidR="0057622F" w:rsidRPr="00886D7D" w:rsidRDefault="0057622F" w:rsidP="00704EC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 Группы начальной подготовки комплектуются из числа обучающихся, желающих заниматься спортом.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3.4.На учебно-тренировочный этап зачисляются обучающиеся, прошедшие необходимую подготовку на этапе начальной подготовки не менее  двух лет, при условии выполнения ими контрольных нормативов по общей физической подготовке, установ</w:t>
            </w:r>
            <w:r w:rsidR="0070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ленных в учреждении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участие в соревнованиях. </w:t>
            </w:r>
          </w:p>
          <w:p w:rsidR="0057622F" w:rsidRDefault="00704ECC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3.5</w:t>
            </w:r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.Перевод обуч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ающихся на следующий этап</w:t>
            </w:r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обучения производится приказом </w:t>
            </w:r>
            <w:proofErr w:type="gramStart"/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основании представленных  тренерами – преподавателями документов: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ходатайства,</w:t>
            </w:r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протоколов сдачи </w:t>
            </w:r>
            <w:proofErr w:type="spellStart"/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переводных нормативов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ОФП (промежуточной аттестации)</w:t>
            </w:r>
            <w:r w:rsidR="0057622F"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протоколо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выступлений  в соревнованиях.</w:t>
            </w:r>
          </w:p>
          <w:p w:rsidR="00623F4C" w:rsidRPr="00886D7D" w:rsidRDefault="00623F4C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4.Порядок комплектования.</w:t>
            </w:r>
          </w:p>
          <w:p w:rsidR="0057622F" w:rsidRPr="00886D7D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4.1.Комплектование спортивной школы на новый учебный год производится с 1 июня по 01 сентября ежегодно, в остальное время производится доукомплектование в соответствии с установленными нормативами.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4.2.Наполняемость учебных групп по видам спорта определяется санитарно-эпидемиологическими требованиями к учреждениям дополнительного образования детей (СанПиН 2.4.4. 1251-03) и закрепляется в Уставе спортивной школы.  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4.3.Перечень групп по видам спорта определяется в соответствии с учебным планом.  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4.4.Обучающийся спортивной школы 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быть принят не более чем на два отделения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видам спорта.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4.5.Учебные группы по видам спорта формируются как по одновозрастному,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так и по разновозрастному принципу.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22F" w:rsidRDefault="0057622F" w:rsidP="00465A60">
            <w:pPr>
              <w:spacing w:after="0" w:line="240" w:lineRule="auto"/>
              <w:ind w:firstLine="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5.Порядок  перевода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622F" w:rsidRPr="00886D7D" w:rsidRDefault="0057622F" w:rsidP="00465A60">
            <w:pPr>
              <w:spacing w:after="0" w:line="240" w:lineRule="auto"/>
              <w:ind w:firstLine="567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5.1.Порядок  перевод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одной группы в другую определяется непосредственно учреждением и оформляется приказом директора спортивной школы. </w:t>
            </w:r>
          </w:p>
          <w:p w:rsidR="0057622F" w:rsidRPr="00886D7D" w:rsidRDefault="0057622F" w:rsidP="006625A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5.2.Перевод обучающихся (в том числе досрочно) в группу следующего года обучения или этапа спортивной подготовки проводится решением педагогического совета на основании стажа занятий, выполнен</w:t>
            </w:r>
            <w:r w:rsidR="00623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контрольных нормативов общей физической подготовке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участия в соревнованиях, а также заключения врача (медицинской комиссии). Обучающиеся, не выполнившие требований и не соответствующие нормативным показателям данного года обучения, на следующий учебный  год не переводятся. Обучающиеся могут продолжить обучение повторно, но не более одного раза потом они переводятся в группу, годом ниже, но не выше </w:t>
            </w:r>
            <w:proofErr w:type="spellStart"/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тренировочной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1 года обучения.</w:t>
            </w: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 выполнившим предъяв</w:t>
            </w:r>
            <w:r w:rsidR="006B34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ляемые требования, предоставляется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возможность продолжить обучение повторно на том же этапе или в спортивно-оздоровительных группах.</w:t>
            </w:r>
          </w:p>
          <w:p w:rsidR="006625AF" w:rsidRDefault="006625A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5.4.Зачисление учащихся в учебно-тренировочные группы может проводиться при условии выполнения контрольных нормативов по ОФП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3495" w:rsidRPr="00886D7D" w:rsidRDefault="006B3495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6.Основания и порядок отчисления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3495" w:rsidRPr="00886D7D" w:rsidRDefault="006B3495" w:rsidP="0046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Отчисление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осуществляется: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на основании медицинского заключения, запрещающего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заниматься данным видом спорта;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заявлению обучающихся и (или) их родителей (законных представителей) в порядке перевода обучающихся в другие </w:t>
            </w:r>
            <w:r w:rsidR="006B34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детей;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в связи с окончанием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</w:t>
            </w:r>
            <w:r w:rsidR="006B34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ющимися</w:t>
            </w:r>
            <w:proofErr w:type="gramEnd"/>
            <w:r w:rsidR="006625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ДО</w:t>
            </w:r>
            <w:r w:rsidR="006B34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ДЮСШ (завершением их обучения по дополнительным предпрофессиональным программам в области физической культуры и спорта и дополнительным общеразвивающим программам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реализуемым</w:t>
            </w:r>
            <w:r w:rsidR="006B34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МБОУ ДО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ДЮСШ);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по добровольному желанию обучающихся и (или) их родителей (законных представителей) прекратить обучение в ДЮСШ, в том числе в связи с переездом обучающихся на новое место жительства.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Отчисление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ДЮСШ оформляется приказом директора. По решению Педагогического Совета школы за совершенные неоднократно грубые нарушения Устава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допускается исключение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ДЮСШ. Под неоднократным нарушением понимается совершение обучающимся, имеющим два или более дисциплинарных взыскания, наложенных директором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ДЮСШ, нового, как правило, грубого нарушения дисциплины. Грубым нарушением дисциплины признается нарушение, которое повлекло или могло повлечь тяжкие последствия в виде: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причинения ущерба жизни и здоровью обучающихся, сотрудников,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посетителей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ДО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ДЮСШ;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причинения ущерба имуществу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ДО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ДЮСШ, имуществу обучающихся, сотрудников, посетителей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ДЮСШ;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дезорганизации работы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ДЮСШ. </w:t>
            </w: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Решение об исключении 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ДЮСШ оформляется приказом директора </w:t>
            </w:r>
            <w:r w:rsidR="002E1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ДО </w:t>
            </w: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ДЮСШ. </w:t>
            </w:r>
          </w:p>
          <w:p w:rsidR="002E1D94" w:rsidRPr="00886D7D" w:rsidRDefault="002E1D94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7622F" w:rsidRDefault="0057622F" w:rsidP="00465A60">
            <w:pPr>
              <w:spacing w:after="0" w:line="240" w:lineRule="auto"/>
              <w:ind w:firstLine="7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7.Заключительные положения. </w:t>
            </w:r>
          </w:p>
          <w:p w:rsidR="0057622F" w:rsidRPr="00886D7D" w:rsidRDefault="0057622F" w:rsidP="00465A60">
            <w:pPr>
              <w:spacing w:after="0" w:line="240" w:lineRule="auto"/>
              <w:ind w:firstLine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7.1.При объединении в одну группу обучающихся разных по возрасту и спортивной подготовленности не превышать разницу в уровне их спортивного мастерства свыше двух спортивных разрядов.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7.2.Обучающиеся спортивной школы, направленные для повышения спортивного мастерства в училища олимпийского резерва, СДЮШОР, ШВСМ, команды мастеров по игровым видам спорта, по договору между данными организациями и спортивной школой могут выступать за ее команду в течени</w:t>
            </w:r>
            <w:proofErr w:type="gramStart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двух лет. </w:t>
            </w: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7.3. В ДЮСШ на отделениях могут комплектоваться учебные группы из детей-инвалидов при наличии специального допуска врача. Наполняемость данных групп не может превышать пределов, установленных соответствующими нормативными правовыми актами Российской Федерации.  </w:t>
            </w: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D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622F" w:rsidRPr="00886D7D" w:rsidRDefault="0057622F" w:rsidP="00465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22F" w:rsidRDefault="0057622F" w:rsidP="00A20AB2">
      <w:pPr>
        <w:pStyle w:val="HTML"/>
        <w:ind w:firstLine="284"/>
        <w:jc w:val="both"/>
        <w:rPr>
          <w:rFonts w:ascii="Times New Roman" w:hAnsi="Times New Roman" w:cs="Times New Roman"/>
          <w:color w:val="auto"/>
        </w:rPr>
      </w:pPr>
      <w:r w:rsidRPr="00886D7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2</w:t>
      </w:r>
    </w:p>
    <w:p w:rsidR="0057622F" w:rsidRDefault="0057622F" w:rsidP="00A20AB2">
      <w:pPr>
        <w:pStyle w:val="HTML"/>
        <w:ind w:firstLine="284"/>
        <w:jc w:val="both"/>
        <w:rPr>
          <w:rFonts w:ascii="Times New Roman" w:hAnsi="Times New Roman" w:cs="Times New Roman"/>
          <w:color w:val="auto"/>
        </w:rPr>
      </w:pPr>
    </w:p>
    <w:p w:rsidR="0057622F" w:rsidRDefault="0057622F" w:rsidP="00A20AB2">
      <w:pPr>
        <w:pStyle w:val="HTML"/>
        <w:ind w:firstLine="284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МИНИМАЛЬНЫЙ ВОЗРАСТ ЗАЧИСЛЕНИЯ ДЕТЕЙ В СПОРТИВНЫЕ ШКОЛЫ ПО ВИДАМ СПОРТА</w:t>
      </w:r>
    </w:p>
    <w:p w:rsidR="0057622F" w:rsidRDefault="0057622F" w:rsidP="00A20AB2">
      <w:pPr>
        <w:pStyle w:val="HTML"/>
        <w:ind w:firstLine="284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9"/>
        <w:gridCol w:w="2782"/>
        <w:gridCol w:w="938"/>
        <w:gridCol w:w="4751"/>
      </w:tblGrid>
      <w:tr w:rsidR="0057622F" w:rsidRPr="001C1A40"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Возраст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 спорта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Возраст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 спорта</w:t>
            </w:r>
          </w:p>
        </w:tc>
      </w:tr>
      <w:tr w:rsidR="0057622F" w:rsidRPr="001C1A40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Гимнастика (дев.)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Горнолыжный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Гимнастика художеств.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Баскетбол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Фигурное катание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Футбол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Бадминтон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Спортивное ориентирование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Спортивный туризм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Гольф</w:t>
            </w:r>
          </w:p>
        </w:tc>
      </w:tr>
      <w:tr w:rsidR="0057622F" w:rsidRPr="001C1A40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Воднолыжный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Биатлон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Гимнастика (мальчики)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Л-атлетика (многоборье, метания, прыжки с шестом)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Прыжки в воду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Синхронное плавание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Прыжки на лыжах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Фристайл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Парусный спорт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Настольный теннис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Бейсбол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Водное поло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Теннис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Волейбол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Акробатика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Гандбол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Прыжки на батуте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Конькобежный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Рок-н-ролл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Легкая атлетика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Спортивные танцы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Лыжные гонки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Аэробика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Шорт-трек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Дартс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Регби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Шейпинг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Софтбол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Шахматы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Хоккей с мячом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Городки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Ушу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Лапта</w:t>
            </w:r>
          </w:p>
        </w:tc>
      </w:tr>
      <w:tr w:rsidR="0057622F" w:rsidRPr="001C1A40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Велоспорт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225" w:type="dxa"/>
            <w:tcBorders>
              <w:top w:val="single" w:sz="4" w:space="0" w:color="auto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Стрельба из лука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Конный 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Стендовая стрельба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Современное пятиборье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Санный 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Стрельба пулевая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Фехтование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Бокс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Борьба вольная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Борьба греко-римская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Гребля академическая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Гребля на байдарках и каноэ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Дзюдо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Тяжелая атлетика (юноши)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Таеквандо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Альпинизм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Буерный 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Гребной слалом</w:t>
            </w:r>
          </w:p>
        </w:tc>
        <w:tc>
          <w:tcPr>
            <w:tcW w:w="834" w:type="dxa"/>
            <w:vMerge w:val="restart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225" w:type="dxa"/>
            <w:vMerge w:val="restart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Бобслей</w:t>
            </w: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Натурбан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Полиатлон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Триатлон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Армреслинг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Атлетизм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Бильярд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Гиревой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Каратэ-до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Кекусенкай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Скалолазание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Стрельба из арбалета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Кикбоксинг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Контакное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каратэ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Пауэрлифтинг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  <w:tr w:rsidR="0057622F" w:rsidRPr="001C1A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bottom w:val="single" w:sz="4" w:space="0" w:color="auto"/>
            </w:tcBorders>
          </w:tcPr>
          <w:p w:rsidR="0057622F" w:rsidRDefault="0057622F">
            <w:pPr>
              <w:pStyle w:val="HTML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Самбо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622F" w:rsidRPr="001C1A40" w:rsidRDefault="0057622F">
            <w:pPr>
              <w:rPr>
                <w:sz w:val="20"/>
                <w:szCs w:val="20"/>
              </w:rPr>
            </w:pPr>
          </w:p>
        </w:tc>
      </w:tr>
    </w:tbl>
    <w:p w:rsidR="0057622F" w:rsidRDefault="0057622F" w:rsidP="00023DC2">
      <w:pPr>
        <w:spacing w:after="0"/>
      </w:pPr>
    </w:p>
    <w:sectPr w:rsidR="0057622F" w:rsidSect="00A20A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E4" w:rsidRDefault="002F63E4" w:rsidP="002F63E4">
      <w:pPr>
        <w:spacing w:after="0" w:line="240" w:lineRule="auto"/>
      </w:pPr>
      <w:r>
        <w:separator/>
      </w:r>
    </w:p>
  </w:endnote>
  <w:endnote w:type="continuationSeparator" w:id="0">
    <w:p w:rsidR="002F63E4" w:rsidRDefault="002F63E4" w:rsidP="002F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E4" w:rsidRDefault="002F63E4" w:rsidP="002F63E4">
      <w:pPr>
        <w:spacing w:after="0" w:line="240" w:lineRule="auto"/>
      </w:pPr>
      <w:r>
        <w:separator/>
      </w:r>
    </w:p>
  </w:footnote>
  <w:footnote w:type="continuationSeparator" w:id="0">
    <w:p w:rsidR="002F63E4" w:rsidRDefault="002F63E4" w:rsidP="002F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A94"/>
    <w:multiLevelType w:val="hybridMultilevel"/>
    <w:tmpl w:val="80CEE062"/>
    <w:lvl w:ilvl="0" w:tplc="E87430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D7D"/>
    <w:rsid w:val="00023DC2"/>
    <w:rsid w:val="001C1A40"/>
    <w:rsid w:val="002E1D94"/>
    <w:rsid w:val="002F63E4"/>
    <w:rsid w:val="00465A60"/>
    <w:rsid w:val="004D61CC"/>
    <w:rsid w:val="0057622F"/>
    <w:rsid w:val="005F3C63"/>
    <w:rsid w:val="00623F4C"/>
    <w:rsid w:val="006625AF"/>
    <w:rsid w:val="00692161"/>
    <w:rsid w:val="006B3495"/>
    <w:rsid w:val="00704ECC"/>
    <w:rsid w:val="0081432B"/>
    <w:rsid w:val="00886D7D"/>
    <w:rsid w:val="00A20AB2"/>
    <w:rsid w:val="00B372AF"/>
    <w:rsid w:val="00B65615"/>
    <w:rsid w:val="00C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5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88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86D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88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uiPriority w:val="99"/>
    <w:rsid w:val="00886D7D"/>
  </w:style>
  <w:style w:type="paragraph" w:styleId="a4">
    <w:name w:val="List Paragraph"/>
    <w:basedOn w:val="a"/>
    <w:uiPriority w:val="99"/>
    <w:qFormat/>
    <w:rsid w:val="00CB4FE7"/>
    <w:pPr>
      <w:ind w:left="720"/>
    </w:pPr>
  </w:style>
  <w:style w:type="paragraph" w:styleId="HTML">
    <w:name w:val="HTML Preformatted"/>
    <w:basedOn w:val="a"/>
    <w:link w:val="HTML0"/>
    <w:uiPriority w:val="99"/>
    <w:rsid w:val="00A20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20AB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63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3E4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2F63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3E4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МБОУ ДО ДЮСШ</cp:lastModifiedBy>
  <cp:revision>8</cp:revision>
  <cp:lastPrinted>2018-09-06T16:30:00Z</cp:lastPrinted>
  <dcterms:created xsi:type="dcterms:W3CDTF">2007-12-31T23:51:00Z</dcterms:created>
  <dcterms:modified xsi:type="dcterms:W3CDTF">2018-09-06T16:57:00Z</dcterms:modified>
</cp:coreProperties>
</file>